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F36" w:rsidRPr="005778A5" w:rsidRDefault="00F15F36" w:rsidP="005778A5">
      <w:pPr>
        <w:spacing w:line="480" w:lineRule="auto"/>
        <w:jc w:val="center"/>
        <w:rPr>
          <w:rFonts w:ascii="Times New Roman" w:hAnsi="Times New Roman" w:cs="Times New Roman"/>
          <w:sz w:val="24"/>
          <w:szCs w:val="24"/>
        </w:rPr>
      </w:pPr>
    </w:p>
    <w:p w:rsidR="00F15F36" w:rsidRPr="005778A5" w:rsidRDefault="00F15F36" w:rsidP="005778A5">
      <w:pPr>
        <w:spacing w:line="480" w:lineRule="auto"/>
        <w:jc w:val="center"/>
        <w:rPr>
          <w:rFonts w:ascii="Times New Roman" w:hAnsi="Times New Roman" w:cs="Times New Roman"/>
          <w:sz w:val="24"/>
          <w:szCs w:val="24"/>
        </w:rPr>
      </w:pPr>
    </w:p>
    <w:p w:rsidR="00F15F36" w:rsidRPr="005778A5" w:rsidRDefault="00F15F36" w:rsidP="005778A5">
      <w:pPr>
        <w:spacing w:line="480" w:lineRule="auto"/>
        <w:jc w:val="center"/>
        <w:rPr>
          <w:rFonts w:ascii="Times New Roman" w:hAnsi="Times New Roman" w:cs="Times New Roman"/>
          <w:sz w:val="24"/>
          <w:szCs w:val="24"/>
        </w:rPr>
      </w:pPr>
    </w:p>
    <w:p w:rsidR="00F15F36" w:rsidRPr="005778A5" w:rsidRDefault="00F15F36" w:rsidP="005778A5">
      <w:pPr>
        <w:spacing w:line="480" w:lineRule="auto"/>
        <w:jc w:val="center"/>
        <w:rPr>
          <w:rFonts w:ascii="Times New Roman" w:hAnsi="Times New Roman" w:cs="Times New Roman"/>
          <w:sz w:val="24"/>
          <w:szCs w:val="24"/>
        </w:rPr>
      </w:pPr>
    </w:p>
    <w:p w:rsidR="00F15F36" w:rsidRPr="005778A5" w:rsidRDefault="00F15F36" w:rsidP="005778A5">
      <w:pPr>
        <w:spacing w:line="480" w:lineRule="auto"/>
        <w:jc w:val="center"/>
        <w:rPr>
          <w:rFonts w:ascii="Times New Roman" w:hAnsi="Times New Roman" w:cs="Times New Roman"/>
          <w:sz w:val="24"/>
          <w:szCs w:val="24"/>
        </w:rPr>
      </w:pPr>
    </w:p>
    <w:p w:rsidR="00F15F36" w:rsidRPr="005778A5" w:rsidRDefault="00F15F36" w:rsidP="005778A5">
      <w:pPr>
        <w:spacing w:line="480" w:lineRule="auto"/>
        <w:jc w:val="center"/>
        <w:rPr>
          <w:rFonts w:ascii="Times New Roman" w:hAnsi="Times New Roman" w:cs="Times New Roman"/>
          <w:sz w:val="24"/>
          <w:szCs w:val="24"/>
        </w:rPr>
      </w:pPr>
    </w:p>
    <w:p w:rsidR="00E47D63" w:rsidRPr="005778A5" w:rsidRDefault="00006C3C" w:rsidP="005778A5">
      <w:pPr>
        <w:spacing w:line="480" w:lineRule="auto"/>
        <w:jc w:val="center"/>
        <w:rPr>
          <w:rFonts w:ascii="Times New Roman" w:hAnsi="Times New Roman" w:cs="Times New Roman"/>
          <w:b/>
          <w:sz w:val="24"/>
          <w:szCs w:val="24"/>
        </w:rPr>
      </w:pPr>
      <w:r w:rsidRPr="005778A5">
        <w:rPr>
          <w:rFonts w:ascii="Times New Roman" w:hAnsi="Times New Roman" w:cs="Times New Roman"/>
          <w:b/>
          <w:sz w:val="24"/>
          <w:szCs w:val="24"/>
        </w:rPr>
        <w:t xml:space="preserve">Case Summary </w:t>
      </w:r>
    </w:p>
    <w:p w:rsidR="00F15F36" w:rsidRPr="005778A5" w:rsidRDefault="00F15F36" w:rsidP="005778A5">
      <w:pPr>
        <w:spacing w:line="480" w:lineRule="auto"/>
        <w:jc w:val="center"/>
        <w:rPr>
          <w:rFonts w:ascii="Times New Roman" w:hAnsi="Times New Roman" w:cs="Times New Roman"/>
          <w:sz w:val="24"/>
          <w:szCs w:val="24"/>
        </w:rPr>
      </w:pPr>
    </w:p>
    <w:p w:rsidR="00F15F36" w:rsidRPr="005778A5" w:rsidRDefault="00006C3C" w:rsidP="005778A5">
      <w:pPr>
        <w:spacing w:line="480" w:lineRule="auto"/>
        <w:jc w:val="center"/>
        <w:rPr>
          <w:rFonts w:ascii="Times New Roman" w:hAnsi="Times New Roman" w:cs="Times New Roman"/>
          <w:sz w:val="24"/>
          <w:szCs w:val="24"/>
        </w:rPr>
      </w:pPr>
      <w:r w:rsidRPr="005778A5">
        <w:rPr>
          <w:rFonts w:ascii="Times New Roman" w:hAnsi="Times New Roman" w:cs="Times New Roman"/>
          <w:sz w:val="24"/>
          <w:szCs w:val="24"/>
        </w:rPr>
        <w:t>Name</w:t>
      </w:r>
    </w:p>
    <w:p w:rsidR="00F15F36" w:rsidRPr="005778A5" w:rsidRDefault="00006C3C" w:rsidP="005778A5">
      <w:pPr>
        <w:spacing w:line="480" w:lineRule="auto"/>
        <w:jc w:val="center"/>
        <w:rPr>
          <w:rFonts w:ascii="Times New Roman" w:hAnsi="Times New Roman" w:cs="Times New Roman"/>
          <w:sz w:val="24"/>
          <w:szCs w:val="24"/>
        </w:rPr>
      </w:pPr>
      <w:r w:rsidRPr="005778A5">
        <w:rPr>
          <w:rFonts w:ascii="Times New Roman" w:hAnsi="Times New Roman" w:cs="Times New Roman"/>
          <w:sz w:val="24"/>
          <w:szCs w:val="24"/>
        </w:rPr>
        <w:t>Institution</w:t>
      </w:r>
    </w:p>
    <w:p w:rsidR="00F15F36" w:rsidRPr="005778A5" w:rsidRDefault="00006C3C" w:rsidP="005778A5">
      <w:pPr>
        <w:spacing w:line="480" w:lineRule="auto"/>
        <w:jc w:val="center"/>
        <w:rPr>
          <w:rFonts w:ascii="Times New Roman" w:hAnsi="Times New Roman" w:cs="Times New Roman"/>
          <w:sz w:val="24"/>
          <w:szCs w:val="24"/>
        </w:rPr>
      </w:pPr>
      <w:r w:rsidRPr="005778A5">
        <w:rPr>
          <w:rFonts w:ascii="Times New Roman" w:hAnsi="Times New Roman" w:cs="Times New Roman"/>
          <w:sz w:val="24"/>
          <w:szCs w:val="24"/>
        </w:rPr>
        <w:t>Course</w:t>
      </w:r>
    </w:p>
    <w:p w:rsidR="00F15F36" w:rsidRPr="005778A5" w:rsidRDefault="00006C3C" w:rsidP="005778A5">
      <w:pPr>
        <w:spacing w:line="480" w:lineRule="auto"/>
        <w:jc w:val="center"/>
        <w:rPr>
          <w:rFonts w:ascii="Times New Roman" w:hAnsi="Times New Roman" w:cs="Times New Roman"/>
          <w:sz w:val="24"/>
          <w:szCs w:val="24"/>
        </w:rPr>
      </w:pPr>
      <w:r w:rsidRPr="005778A5">
        <w:rPr>
          <w:rFonts w:ascii="Times New Roman" w:hAnsi="Times New Roman" w:cs="Times New Roman"/>
          <w:sz w:val="24"/>
          <w:szCs w:val="24"/>
        </w:rPr>
        <w:t>Instructor</w:t>
      </w:r>
    </w:p>
    <w:p w:rsidR="00F15F36" w:rsidRPr="005778A5" w:rsidRDefault="00006C3C" w:rsidP="005778A5">
      <w:pPr>
        <w:spacing w:line="480" w:lineRule="auto"/>
        <w:jc w:val="center"/>
        <w:rPr>
          <w:rFonts w:ascii="Times New Roman" w:hAnsi="Times New Roman" w:cs="Times New Roman"/>
          <w:sz w:val="24"/>
          <w:szCs w:val="24"/>
        </w:rPr>
      </w:pPr>
      <w:r w:rsidRPr="005778A5">
        <w:rPr>
          <w:rFonts w:ascii="Times New Roman" w:hAnsi="Times New Roman" w:cs="Times New Roman"/>
          <w:sz w:val="24"/>
          <w:szCs w:val="24"/>
        </w:rPr>
        <w:t>Date</w:t>
      </w:r>
    </w:p>
    <w:p w:rsidR="00F15F36" w:rsidRPr="005778A5" w:rsidRDefault="00F15F36" w:rsidP="005778A5">
      <w:pPr>
        <w:spacing w:line="480" w:lineRule="auto"/>
        <w:jc w:val="center"/>
        <w:rPr>
          <w:rFonts w:ascii="Times New Roman" w:hAnsi="Times New Roman" w:cs="Times New Roman"/>
          <w:sz w:val="24"/>
          <w:szCs w:val="24"/>
        </w:rPr>
      </w:pPr>
    </w:p>
    <w:p w:rsidR="00F15F36" w:rsidRPr="005778A5" w:rsidRDefault="00F15F36" w:rsidP="005778A5">
      <w:pPr>
        <w:spacing w:line="480" w:lineRule="auto"/>
        <w:jc w:val="center"/>
        <w:rPr>
          <w:rFonts w:ascii="Times New Roman" w:hAnsi="Times New Roman" w:cs="Times New Roman"/>
          <w:sz w:val="24"/>
          <w:szCs w:val="24"/>
        </w:rPr>
      </w:pPr>
    </w:p>
    <w:p w:rsidR="00F15F36" w:rsidRPr="005778A5" w:rsidRDefault="00F15F36" w:rsidP="005778A5">
      <w:pPr>
        <w:spacing w:line="480" w:lineRule="auto"/>
        <w:jc w:val="center"/>
        <w:rPr>
          <w:rFonts w:ascii="Times New Roman" w:hAnsi="Times New Roman" w:cs="Times New Roman"/>
          <w:sz w:val="24"/>
          <w:szCs w:val="24"/>
        </w:rPr>
      </w:pPr>
    </w:p>
    <w:p w:rsidR="00F15F36" w:rsidRPr="005778A5" w:rsidRDefault="00F15F36" w:rsidP="005778A5">
      <w:pPr>
        <w:spacing w:line="480" w:lineRule="auto"/>
        <w:jc w:val="center"/>
        <w:rPr>
          <w:rFonts w:ascii="Times New Roman" w:hAnsi="Times New Roman" w:cs="Times New Roman"/>
          <w:sz w:val="24"/>
          <w:szCs w:val="24"/>
        </w:rPr>
      </w:pPr>
    </w:p>
    <w:p w:rsidR="004141E6" w:rsidRPr="004141E6" w:rsidRDefault="00006C3C" w:rsidP="004141E6">
      <w:pPr>
        <w:spacing w:line="480" w:lineRule="auto"/>
        <w:jc w:val="center"/>
        <w:rPr>
          <w:rFonts w:ascii="Times New Roman" w:hAnsi="Times New Roman" w:cs="Times New Roman"/>
          <w:b/>
          <w:sz w:val="24"/>
          <w:szCs w:val="24"/>
        </w:rPr>
      </w:pPr>
      <w:r w:rsidRPr="005778A5">
        <w:rPr>
          <w:rFonts w:ascii="Times New Roman" w:hAnsi="Times New Roman" w:cs="Times New Roman"/>
          <w:b/>
          <w:sz w:val="24"/>
          <w:szCs w:val="24"/>
        </w:rPr>
        <w:lastRenderedPageBreak/>
        <w:t xml:space="preserve">Case Summary </w:t>
      </w:r>
    </w:p>
    <w:p w:rsidR="00F15F36" w:rsidRPr="00FC5F2D" w:rsidRDefault="00FC5F2D" w:rsidP="004141E6">
      <w:pPr>
        <w:spacing w:after="0" w:line="480" w:lineRule="auto"/>
        <w:ind w:left="144"/>
        <w:jc w:val="center"/>
        <w:rPr>
          <w:rFonts w:ascii="Times New Roman" w:eastAsia="Times New Roman" w:hAnsi="Times New Roman" w:cs="Times New Roman"/>
          <w:b/>
          <w:sz w:val="24"/>
          <w:szCs w:val="24"/>
        </w:rPr>
      </w:pPr>
      <w:r w:rsidRPr="00FC5F2D">
        <w:rPr>
          <w:rFonts w:ascii="Times New Roman" w:eastAsia="Times New Roman" w:hAnsi="Times New Roman" w:cs="Times New Roman"/>
          <w:b/>
          <w:sz w:val="24"/>
          <w:szCs w:val="24"/>
        </w:rPr>
        <w:t>Case 1</w:t>
      </w:r>
    </w:p>
    <w:p w:rsidR="00F15F36" w:rsidRPr="00FC5F2D" w:rsidRDefault="00FC5F2D" w:rsidP="00FC5F2D">
      <w:pPr>
        <w:spacing w:after="0" w:line="480" w:lineRule="auto"/>
        <w:ind w:left="144"/>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B507C8">
        <w:rPr>
          <w:rFonts w:ascii="Times New Roman" w:eastAsia="Times New Roman" w:hAnsi="Times New Roman" w:cs="Times New Roman"/>
          <w:sz w:val="24"/>
          <w:szCs w:val="24"/>
        </w:rPr>
        <w:t xml:space="preserve">The Government was involved in </w:t>
      </w:r>
      <w:r w:rsidR="002045CD">
        <w:rPr>
          <w:rFonts w:ascii="Times New Roman" w:eastAsia="Times New Roman" w:hAnsi="Times New Roman" w:cs="Times New Roman"/>
          <w:sz w:val="24"/>
          <w:szCs w:val="24"/>
        </w:rPr>
        <w:t xml:space="preserve">the </w:t>
      </w:r>
      <w:r w:rsidRPr="00FC5F2D">
        <w:rPr>
          <w:rFonts w:ascii="Times New Roman" w:eastAsia="Times New Roman" w:hAnsi="Times New Roman" w:cs="Times New Roman"/>
          <w:i/>
          <w:sz w:val="24"/>
          <w:szCs w:val="24"/>
        </w:rPr>
        <w:t>Brady v. Maryland</w:t>
      </w:r>
      <w:r w:rsidRPr="00FC5F2D">
        <w:rPr>
          <w:rFonts w:ascii="Times New Roman" w:eastAsia="Times New Roman" w:hAnsi="Times New Roman" w:cs="Times New Roman"/>
          <w:sz w:val="24"/>
          <w:szCs w:val="24"/>
        </w:rPr>
        <w:t>, 373 U.S. 83 (1963)</w:t>
      </w:r>
      <w:r w:rsidR="00EB53D9" w:rsidRPr="005778A5">
        <w:rPr>
          <w:rFonts w:ascii="Times New Roman" w:eastAsia="Times New Roman" w:hAnsi="Times New Roman" w:cs="Times New Roman"/>
          <w:sz w:val="24"/>
          <w:szCs w:val="24"/>
        </w:rPr>
        <w:t xml:space="preserve">. It is </w:t>
      </w:r>
      <w:r w:rsidR="002045CD">
        <w:rPr>
          <w:rFonts w:ascii="Times New Roman" w:eastAsia="Times New Roman" w:hAnsi="Times New Roman" w:cs="Times New Roman"/>
          <w:sz w:val="24"/>
          <w:szCs w:val="24"/>
        </w:rPr>
        <w:t>being</w:t>
      </w:r>
      <w:r w:rsidR="00B507C8">
        <w:rPr>
          <w:rFonts w:ascii="Times New Roman" w:eastAsia="Times New Roman" w:hAnsi="Times New Roman" w:cs="Times New Roman"/>
          <w:sz w:val="24"/>
          <w:szCs w:val="24"/>
        </w:rPr>
        <w:t xml:space="preserve"> </w:t>
      </w:r>
      <w:r w:rsidR="00EB53D9" w:rsidRPr="005778A5">
        <w:rPr>
          <w:rFonts w:ascii="Times New Roman" w:eastAsia="Times New Roman" w:hAnsi="Times New Roman" w:cs="Times New Roman"/>
          <w:sz w:val="24"/>
          <w:szCs w:val="24"/>
        </w:rPr>
        <w:t>alleged that Government withheld evidence that was to determine either guilt or punishme</w:t>
      </w:r>
      <w:r w:rsidR="00B507C8">
        <w:rPr>
          <w:rFonts w:ascii="Times New Roman" w:eastAsia="Times New Roman" w:hAnsi="Times New Roman" w:cs="Times New Roman"/>
          <w:sz w:val="24"/>
          <w:szCs w:val="24"/>
        </w:rPr>
        <w:t xml:space="preserve">nt for the criminal defendant. </w:t>
      </w:r>
      <w:r w:rsidR="00EB53D9" w:rsidRPr="005778A5">
        <w:rPr>
          <w:rFonts w:ascii="Times New Roman" w:eastAsia="Times New Roman" w:hAnsi="Times New Roman" w:cs="Times New Roman"/>
          <w:sz w:val="24"/>
          <w:szCs w:val="24"/>
        </w:rPr>
        <w:t xml:space="preserve">The courts were then bound to use either the Fifth or Fourth Amendment as stipulated in the case of the two criminals. The petitioner, during the trial, admitted to having committed the crime though the companion was involved in the actual killing. </w:t>
      </w:r>
      <w:r w:rsidR="00A12A60" w:rsidRPr="005778A5">
        <w:rPr>
          <w:rFonts w:ascii="Times New Roman" w:eastAsia="Times New Roman" w:hAnsi="Times New Roman" w:cs="Times New Roman"/>
          <w:sz w:val="24"/>
          <w:szCs w:val="24"/>
        </w:rPr>
        <w:t>Efforts by the petitioner's counsel to defend him during the summation to the jury were never successful. The council requested to withhold capital punishment to conduct more judicial statements</w:t>
      </w:r>
      <w:r w:rsidR="003C304B" w:rsidRPr="005778A5">
        <w:rPr>
          <w:rFonts w:ascii="Times New Roman" w:eastAsia="Times New Roman" w:hAnsi="Times New Roman" w:cs="Times New Roman"/>
          <w:sz w:val="24"/>
          <w:szCs w:val="24"/>
        </w:rPr>
        <w:t xml:space="preserve"> (</w:t>
      </w:r>
      <w:r w:rsidR="003C304B" w:rsidRPr="005778A5">
        <w:rPr>
          <w:rFonts w:ascii="Times New Roman" w:hAnsi="Times New Roman" w:cs="Times New Roman"/>
          <w:sz w:val="24"/>
          <w:szCs w:val="24"/>
        </w:rPr>
        <w:t>Alkon, 2014)</w:t>
      </w:r>
      <w:r w:rsidR="00A12A60" w:rsidRPr="005778A5">
        <w:rPr>
          <w:rFonts w:ascii="Times New Roman" w:eastAsia="Times New Roman" w:hAnsi="Times New Roman" w:cs="Times New Roman"/>
          <w:sz w:val="24"/>
          <w:szCs w:val="24"/>
        </w:rPr>
        <w:t>. Before the actual conviction, a concern was held by the Maryland Court of Appeals as to why the prosecutor denied suppression of the evidence</w:t>
      </w:r>
      <w:r w:rsidR="00303EE2" w:rsidRPr="005778A5">
        <w:rPr>
          <w:rFonts w:ascii="Times New Roman" w:eastAsia="Times New Roman" w:hAnsi="Times New Roman" w:cs="Times New Roman"/>
          <w:sz w:val="24"/>
          <w:szCs w:val="24"/>
        </w:rPr>
        <w:t xml:space="preserve">. Despite </w:t>
      </w:r>
      <w:r w:rsidR="003C304B" w:rsidRPr="005778A5">
        <w:rPr>
          <w:rFonts w:ascii="Times New Roman" w:eastAsia="Times New Roman" w:hAnsi="Times New Roman" w:cs="Times New Roman"/>
          <w:sz w:val="24"/>
          <w:szCs w:val="24"/>
        </w:rPr>
        <w:t>the suppression</w:t>
      </w:r>
      <w:r w:rsidR="00303EE2" w:rsidRPr="005778A5">
        <w:rPr>
          <w:rFonts w:ascii="Times New Roman" w:eastAsia="Times New Roman" w:hAnsi="Times New Roman" w:cs="Times New Roman"/>
          <w:sz w:val="24"/>
          <w:szCs w:val="24"/>
        </w:rPr>
        <w:t xml:space="preserve"> of the evidence</w:t>
      </w:r>
      <w:r w:rsidR="003C304B" w:rsidRPr="005778A5">
        <w:rPr>
          <w:rFonts w:ascii="Times New Roman" w:eastAsia="Times New Roman" w:hAnsi="Times New Roman" w:cs="Times New Roman"/>
          <w:sz w:val="24"/>
          <w:szCs w:val="24"/>
        </w:rPr>
        <w:t>, the</w:t>
      </w:r>
      <w:r w:rsidR="00303EE2" w:rsidRPr="005778A5">
        <w:rPr>
          <w:rFonts w:ascii="Times New Roman" w:eastAsia="Times New Roman" w:hAnsi="Times New Roman" w:cs="Times New Roman"/>
          <w:sz w:val="24"/>
          <w:szCs w:val="24"/>
        </w:rPr>
        <w:t xml:space="preserve"> fact remained that the offender committed first murder degree, thus was bound to conviction by the law. </w:t>
      </w:r>
      <w:r w:rsidR="00DB4C62" w:rsidRPr="005778A5">
        <w:rPr>
          <w:rFonts w:ascii="Times New Roman" w:eastAsia="Times New Roman" w:hAnsi="Times New Roman" w:cs="Times New Roman"/>
          <w:sz w:val="24"/>
          <w:szCs w:val="24"/>
        </w:rPr>
        <w:t xml:space="preserve">However, the petitioner was never denied constitutional rights during the questioning of the secondly suggested punishment. Therefore, in this case, the main issues are suppressing the evidence by the court and the restriction of the petitioners' new trial. </w:t>
      </w:r>
    </w:p>
    <w:p w:rsidR="00DB4C62" w:rsidRPr="005778A5" w:rsidRDefault="00FC5F2D" w:rsidP="005778A5">
      <w:pPr>
        <w:spacing w:after="0" w:line="480" w:lineRule="auto"/>
        <w:ind w:left="144" w:firstLine="576"/>
        <w:jc w:val="center"/>
        <w:rPr>
          <w:rFonts w:ascii="Times New Roman" w:hAnsi="Times New Roman" w:cs="Times New Roman"/>
          <w:b/>
          <w:sz w:val="24"/>
          <w:szCs w:val="24"/>
        </w:rPr>
      </w:pPr>
      <w:r>
        <w:rPr>
          <w:rFonts w:ascii="Times New Roman" w:hAnsi="Times New Roman" w:cs="Times New Roman"/>
          <w:b/>
          <w:sz w:val="24"/>
          <w:szCs w:val="24"/>
        </w:rPr>
        <w:t>Case 2</w:t>
      </w:r>
    </w:p>
    <w:p w:rsidR="00C95409" w:rsidRPr="00FC5F2D" w:rsidRDefault="00FC5F2D" w:rsidP="00FC5F2D">
      <w:pPr>
        <w:spacing w:after="0" w:line="480" w:lineRule="auto"/>
        <w:ind w:left="144" w:firstLine="576"/>
        <w:rPr>
          <w:rFonts w:ascii="Times New Roman" w:hAnsi="Times New Roman" w:cs="Times New Roman"/>
          <w:b/>
          <w:sz w:val="24"/>
          <w:szCs w:val="24"/>
        </w:rPr>
      </w:pPr>
      <w:r>
        <w:rPr>
          <w:rFonts w:ascii="Times New Roman" w:hAnsi="Times New Roman" w:cs="Times New Roman"/>
          <w:sz w:val="24"/>
          <w:szCs w:val="24"/>
        </w:rPr>
        <w:t xml:space="preserve">Gilgo vs. United States, </w:t>
      </w:r>
      <w:r w:rsidRPr="00FC5F2D">
        <w:rPr>
          <w:rFonts w:ascii="Times New Roman" w:hAnsi="Times New Roman" w:cs="Times New Roman"/>
          <w:sz w:val="24"/>
          <w:szCs w:val="24"/>
        </w:rPr>
        <w:t>405 U.S. 150 (1972)</w:t>
      </w:r>
      <w:r>
        <w:rPr>
          <w:rFonts w:ascii="Times New Roman" w:hAnsi="Times New Roman" w:cs="Times New Roman"/>
          <w:b/>
          <w:sz w:val="24"/>
          <w:szCs w:val="24"/>
        </w:rPr>
        <w:t xml:space="preserve"> </w:t>
      </w:r>
      <w:r w:rsidR="00EB53D9" w:rsidRPr="005778A5">
        <w:rPr>
          <w:rFonts w:ascii="Times New Roman" w:hAnsi="Times New Roman" w:cs="Times New Roman"/>
          <w:sz w:val="24"/>
          <w:szCs w:val="24"/>
        </w:rPr>
        <w:t xml:space="preserve">was another </w:t>
      </w:r>
      <w:r w:rsidR="00297263">
        <w:rPr>
          <w:rFonts w:ascii="Times New Roman" w:hAnsi="Times New Roman" w:cs="Times New Roman"/>
          <w:sz w:val="24"/>
          <w:szCs w:val="24"/>
        </w:rPr>
        <w:t>c</w:t>
      </w:r>
      <w:r w:rsidR="00EB53D9" w:rsidRPr="005778A5">
        <w:rPr>
          <w:rFonts w:ascii="Times New Roman" w:hAnsi="Times New Roman" w:cs="Times New Roman"/>
          <w:sz w:val="24"/>
          <w:szCs w:val="24"/>
        </w:rPr>
        <w:t xml:space="preserve">ourt case </w:t>
      </w:r>
      <w:r w:rsidR="005425EA">
        <w:rPr>
          <w:rFonts w:ascii="Times New Roman" w:hAnsi="Times New Roman" w:cs="Times New Roman"/>
          <w:sz w:val="24"/>
          <w:szCs w:val="24"/>
        </w:rPr>
        <w:t xml:space="preserve">having </w:t>
      </w:r>
      <w:r w:rsidR="00EB53D9" w:rsidRPr="005778A5">
        <w:rPr>
          <w:rFonts w:ascii="Times New Roman" w:hAnsi="Times New Roman" w:cs="Times New Roman"/>
          <w:sz w:val="24"/>
          <w:szCs w:val="24"/>
        </w:rPr>
        <w:t>much negligence rather than intent. Here, a witness was promised never to be prosecuted provided the exchange of testimony</w:t>
      </w:r>
      <w:r w:rsidR="005F2E48" w:rsidRPr="005778A5">
        <w:rPr>
          <w:rFonts w:ascii="Times New Roman" w:hAnsi="Times New Roman" w:cs="Times New Roman"/>
          <w:sz w:val="24"/>
          <w:szCs w:val="24"/>
        </w:rPr>
        <w:t xml:space="preserve"> (</w:t>
      </w:r>
      <w:r w:rsidR="005F2E48" w:rsidRPr="005778A5">
        <w:rPr>
          <w:rFonts w:ascii="Times New Roman" w:eastAsia="Times New Roman" w:hAnsi="Times New Roman" w:cs="Times New Roman"/>
          <w:sz w:val="24"/>
          <w:szCs w:val="24"/>
        </w:rPr>
        <w:t>Johnson, 2014)</w:t>
      </w:r>
      <w:r w:rsidR="00EB53D9" w:rsidRPr="005778A5">
        <w:rPr>
          <w:rFonts w:ascii="Times New Roman" w:hAnsi="Times New Roman" w:cs="Times New Roman"/>
          <w:sz w:val="24"/>
          <w:szCs w:val="24"/>
        </w:rPr>
        <w:t>. In return, the prosecution was withheld, awaiting a new trial. The case is closely related to Brady vs. Maryland</w:t>
      </w:r>
      <w:r w:rsidR="000A0F61" w:rsidRPr="005778A5">
        <w:rPr>
          <w:rFonts w:ascii="Times New Roman" w:hAnsi="Times New Roman" w:cs="Times New Roman"/>
          <w:sz w:val="24"/>
          <w:szCs w:val="24"/>
        </w:rPr>
        <w:t>; hence, some legal agreement</w:t>
      </w:r>
      <w:r w:rsidR="00EB53D9" w:rsidRPr="005778A5">
        <w:rPr>
          <w:rFonts w:ascii="Times New Roman" w:hAnsi="Times New Roman" w:cs="Times New Roman"/>
          <w:sz w:val="24"/>
          <w:szCs w:val="24"/>
        </w:rPr>
        <w:t xml:space="preserve"> was made for the defense counsel. </w:t>
      </w:r>
      <w:r w:rsidR="00DF138A" w:rsidRPr="005778A5">
        <w:rPr>
          <w:rFonts w:ascii="Times New Roman" w:hAnsi="Times New Roman" w:cs="Times New Roman"/>
          <w:sz w:val="24"/>
          <w:szCs w:val="24"/>
        </w:rPr>
        <w:t xml:space="preserve">In such cases, witnesses make a deal with the Government for some favor. </w:t>
      </w:r>
      <w:r w:rsidR="00051586" w:rsidRPr="005778A5">
        <w:rPr>
          <w:rFonts w:ascii="Times New Roman" w:hAnsi="Times New Roman" w:cs="Times New Roman"/>
          <w:sz w:val="24"/>
          <w:szCs w:val="24"/>
        </w:rPr>
        <w:t xml:space="preserve">As a result, the Supreme Court highlighted some opinions. </w:t>
      </w:r>
      <w:r w:rsidR="00CC0956" w:rsidRPr="005778A5">
        <w:rPr>
          <w:rFonts w:ascii="Times New Roman" w:hAnsi="Times New Roman" w:cs="Times New Roman"/>
          <w:sz w:val="24"/>
          <w:szCs w:val="24"/>
        </w:rPr>
        <w:t xml:space="preserve">First, the evidence </w:t>
      </w:r>
      <w:r w:rsidR="00CC0956" w:rsidRPr="005778A5">
        <w:rPr>
          <w:rFonts w:ascii="Times New Roman" w:hAnsi="Times New Roman" w:cs="Times New Roman"/>
          <w:sz w:val="24"/>
          <w:szCs w:val="24"/>
        </w:rPr>
        <w:lastRenderedPageBreak/>
        <w:t xml:space="preserve">presented by the witness was considered false due to their incompletion. The court also observed that the evidence was uncorrected when first presented in court. Hence, a trial was required </w:t>
      </w:r>
      <w:r w:rsidR="00DB38F7">
        <w:rPr>
          <w:rFonts w:ascii="Times New Roman" w:hAnsi="Times New Roman" w:cs="Times New Roman"/>
          <w:sz w:val="24"/>
          <w:szCs w:val="24"/>
        </w:rPr>
        <w:t>despite in</w:t>
      </w:r>
      <w:r w:rsidR="00CC0956" w:rsidRPr="005778A5">
        <w:rPr>
          <w:rFonts w:ascii="Times New Roman" w:hAnsi="Times New Roman" w:cs="Times New Roman"/>
          <w:sz w:val="24"/>
          <w:szCs w:val="24"/>
        </w:rPr>
        <w:t xml:space="preserve"> good or bad faith. Second,</w:t>
      </w:r>
      <w:r w:rsidR="00DB38F7">
        <w:rPr>
          <w:rFonts w:ascii="Times New Roman" w:hAnsi="Times New Roman" w:cs="Times New Roman"/>
          <w:sz w:val="24"/>
          <w:szCs w:val="24"/>
        </w:rPr>
        <w:t xml:space="preserve"> since this</w:t>
      </w:r>
      <w:r w:rsidR="00CC0956" w:rsidRPr="005778A5">
        <w:rPr>
          <w:rFonts w:ascii="Times New Roman" w:hAnsi="Times New Roman" w:cs="Times New Roman"/>
          <w:sz w:val="24"/>
          <w:szCs w:val="24"/>
        </w:rPr>
        <w:t xml:space="preserve"> court never found any association of Dipaola's authority with H</w:t>
      </w:r>
      <w:r w:rsidR="00D86AD0" w:rsidRPr="005778A5">
        <w:rPr>
          <w:rFonts w:ascii="Times New Roman" w:hAnsi="Times New Roman" w:cs="Times New Roman"/>
          <w:sz w:val="24"/>
          <w:szCs w:val="24"/>
        </w:rPr>
        <w:t>oey, it had to withhold the case</w:t>
      </w:r>
      <w:r w:rsidR="005F2E48" w:rsidRPr="005778A5">
        <w:rPr>
          <w:rFonts w:ascii="Times New Roman" w:hAnsi="Times New Roman" w:cs="Times New Roman"/>
          <w:sz w:val="24"/>
          <w:szCs w:val="24"/>
        </w:rPr>
        <w:t xml:space="preserve"> (</w:t>
      </w:r>
      <w:r w:rsidR="005F2E48" w:rsidRPr="005778A5">
        <w:rPr>
          <w:rFonts w:ascii="Times New Roman" w:eastAsia="Times New Roman" w:hAnsi="Times New Roman" w:cs="Times New Roman"/>
          <w:sz w:val="24"/>
          <w:szCs w:val="24"/>
        </w:rPr>
        <w:t>Johnson, 2014)</w:t>
      </w:r>
      <w:r w:rsidR="00D86AD0" w:rsidRPr="005778A5">
        <w:rPr>
          <w:rFonts w:ascii="Times New Roman" w:hAnsi="Times New Roman" w:cs="Times New Roman"/>
          <w:sz w:val="24"/>
          <w:szCs w:val="24"/>
        </w:rPr>
        <w:t>.</w:t>
      </w:r>
    </w:p>
    <w:p w:rsidR="00C95409" w:rsidRPr="005778A5" w:rsidRDefault="00DB38F7" w:rsidP="003F413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86AD0" w:rsidRPr="005778A5">
        <w:rPr>
          <w:rFonts w:ascii="Times New Roman" w:hAnsi="Times New Roman" w:cs="Times New Roman"/>
          <w:sz w:val="24"/>
          <w:szCs w:val="24"/>
        </w:rPr>
        <w:t xml:space="preserve">Consequently, the promise made by the attorney general had to be directed to the Government due to the disclosure of intentional negligence. That was the prosecutor's responsibility to submit the allegations to the Government. Further, Government's case entirely </w:t>
      </w:r>
      <w:r>
        <w:rPr>
          <w:rFonts w:ascii="Times New Roman" w:hAnsi="Times New Roman" w:cs="Times New Roman"/>
          <w:sz w:val="24"/>
          <w:szCs w:val="24"/>
        </w:rPr>
        <w:t xml:space="preserve">relied </w:t>
      </w:r>
      <w:r w:rsidR="00D86AD0" w:rsidRPr="005778A5">
        <w:rPr>
          <w:rFonts w:ascii="Times New Roman" w:hAnsi="Times New Roman" w:cs="Times New Roman"/>
          <w:sz w:val="24"/>
          <w:szCs w:val="24"/>
        </w:rPr>
        <w:t xml:space="preserve">on Taliento's confessions for the jury's rulings. </w:t>
      </w:r>
    </w:p>
    <w:p w:rsidR="0060556B" w:rsidRPr="00FC5F2D" w:rsidRDefault="00FC5F2D" w:rsidP="005778A5">
      <w:pPr>
        <w:spacing w:after="0" w:line="480" w:lineRule="auto"/>
        <w:ind w:left="720"/>
        <w:jc w:val="center"/>
        <w:rPr>
          <w:rFonts w:ascii="Times New Roman" w:eastAsia="Times New Roman" w:hAnsi="Times New Roman" w:cs="Times New Roman"/>
          <w:b/>
          <w:sz w:val="24"/>
          <w:szCs w:val="24"/>
        </w:rPr>
      </w:pPr>
      <w:r w:rsidRPr="00FC5F2D">
        <w:rPr>
          <w:rFonts w:ascii="Times New Roman" w:eastAsia="Times New Roman" w:hAnsi="Times New Roman" w:cs="Times New Roman"/>
          <w:b/>
          <w:sz w:val="24"/>
          <w:szCs w:val="24"/>
        </w:rPr>
        <w:t>Case 3</w:t>
      </w:r>
    </w:p>
    <w:p w:rsidR="005F2E48" w:rsidRPr="00FC5F2D" w:rsidRDefault="00FC5F2D" w:rsidP="00FC5F2D">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EB53D9" w:rsidRPr="005778A5">
        <w:rPr>
          <w:rFonts w:ascii="Times New Roman" w:eastAsia="Times New Roman" w:hAnsi="Times New Roman" w:cs="Times New Roman"/>
          <w:sz w:val="24"/>
          <w:szCs w:val="24"/>
        </w:rPr>
        <w:t xml:space="preserve">The main issue, in </w:t>
      </w:r>
      <w:r w:rsidRPr="00FC5F2D">
        <w:rPr>
          <w:rFonts w:ascii="Times New Roman" w:eastAsia="Times New Roman" w:hAnsi="Times New Roman" w:cs="Times New Roman"/>
          <w:i/>
          <w:sz w:val="24"/>
          <w:szCs w:val="24"/>
        </w:rPr>
        <w:t>The United States v. Agurs</w:t>
      </w:r>
      <w:r w:rsidRPr="00FC5F2D">
        <w:rPr>
          <w:rFonts w:ascii="Times New Roman" w:eastAsia="Times New Roman" w:hAnsi="Times New Roman" w:cs="Times New Roman"/>
          <w:sz w:val="24"/>
          <w:szCs w:val="24"/>
        </w:rPr>
        <w:t>, 427 U.S. 97 (1976)</w:t>
      </w:r>
      <w:r w:rsidR="00EB53D9" w:rsidRPr="00FC5F2D">
        <w:rPr>
          <w:rFonts w:ascii="Times New Roman" w:eastAsia="Times New Roman" w:hAnsi="Times New Roman" w:cs="Times New Roman"/>
          <w:sz w:val="24"/>
          <w:szCs w:val="24"/>
        </w:rPr>
        <w:t>,</w:t>
      </w:r>
      <w:r w:rsidR="00EB53D9" w:rsidRPr="005778A5">
        <w:rPr>
          <w:rFonts w:ascii="Times New Roman" w:eastAsia="Times New Roman" w:hAnsi="Times New Roman" w:cs="Times New Roman"/>
          <w:sz w:val="24"/>
          <w:szCs w:val="24"/>
        </w:rPr>
        <w:t xml:space="preserve"> is inadequacy of a request from </w:t>
      </w:r>
      <w:bookmarkStart w:id="0" w:name="_GoBack"/>
      <w:bookmarkEnd w:id="0"/>
      <w:r w:rsidR="00EB53D9" w:rsidRPr="005778A5">
        <w:rPr>
          <w:rFonts w:ascii="Times New Roman" w:eastAsia="Times New Roman" w:hAnsi="Times New Roman" w:cs="Times New Roman"/>
          <w:sz w:val="24"/>
          <w:szCs w:val="24"/>
        </w:rPr>
        <w:t>defendant that is Agurs. Here, the defen</w:t>
      </w:r>
      <w:r>
        <w:rPr>
          <w:rFonts w:ascii="Times New Roman" w:eastAsia="Times New Roman" w:hAnsi="Times New Roman" w:cs="Times New Roman"/>
          <w:sz w:val="24"/>
          <w:szCs w:val="24"/>
        </w:rPr>
        <w:t xml:space="preserve">dant's right in due process was </w:t>
      </w:r>
      <w:r w:rsidR="00EB53D9" w:rsidRPr="005778A5">
        <w:rPr>
          <w:rFonts w:ascii="Times New Roman" w:eastAsia="Times New Roman" w:hAnsi="Times New Roman" w:cs="Times New Roman"/>
          <w:sz w:val="24"/>
          <w:szCs w:val="24"/>
        </w:rPr>
        <w:t xml:space="preserve">interfered with when the prosecution to the </w:t>
      </w:r>
      <w:r w:rsidR="0077247C" w:rsidRPr="005778A5">
        <w:rPr>
          <w:rFonts w:ascii="Times New Roman" w:eastAsia="Times New Roman" w:hAnsi="Times New Roman" w:cs="Times New Roman"/>
          <w:sz w:val="24"/>
          <w:szCs w:val="24"/>
        </w:rPr>
        <w:t>victim</w:t>
      </w:r>
      <w:r w:rsidR="00EB53D9" w:rsidRPr="005778A5">
        <w:rPr>
          <w:rFonts w:ascii="Times New Roman" w:eastAsia="Times New Roman" w:hAnsi="Times New Roman" w:cs="Times New Roman"/>
          <w:sz w:val="24"/>
          <w:szCs w:val="24"/>
        </w:rPr>
        <w:t xml:space="preserve">'s tender </w:t>
      </w:r>
      <w:r>
        <w:rPr>
          <w:rFonts w:ascii="Times New Roman" w:eastAsia="Times New Roman" w:hAnsi="Times New Roman" w:cs="Times New Roman"/>
          <w:sz w:val="24"/>
          <w:szCs w:val="24"/>
        </w:rPr>
        <w:t xml:space="preserve">was on a criminal record to the </w:t>
      </w:r>
      <w:r w:rsidR="00EB53D9" w:rsidRPr="005778A5">
        <w:rPr>
          <w:rFonts w:ascii="Times New Roman" w:eastAsia="Times New Roman" w:hAnsi="Times New Roman" w:cs="Times New Roman"/>
          <w:sz w:val="24"/>
          <w:szCs w:val="24"/>
        </w:rPr>
        <w:t>defense</w:t>
      </w:r>
      <w:r w:rsidR="008708B8" w:rsidRPr="005778A5">
        <w:rPr>
          <w:rFonts w:ascii="Times New Roman" w:eastAsia="Times New Roman" w:hAnsi="Times New Roman" w:cs="Times New Roman"/>
          <w:sz w:val="24"/>
          <w:szCs w:val="24"/>
        </w:rPr>
        <w:t xml:space="preserve"> (JUSTIA US Supreme Court)</w:t>
      </w:r>
      <w:r w:rsidR="0077247C" w:rsidRPr="005778A5">
        <w:rPr>
          <w:rFonts w:ascii="Times New Roman" w:eastAsia="Times New Roman" w:hAnsi="Times New Roman" w:cs="Times New Roman"/>
          <w:sz w:val="24"/>
          <w:szCs w:val="24"/>
        </w:rPr>
        <w:t>. Agurs was convicted of second-degree murder using a kn</w:t>
      </w:r>
      <w:r w:rsidR="00B507C8">
        <w:rPr>
          <w:rFonts w:ascii="Times New Roman" w:eastAsia="Times New Roman" w:hAnsi="Times New Roman" w:cs="Times New Roman"/>
          <w:sz w:val="24"/>
          <w:szCs w:val="24"/>
        </w:rPr>
        <w:t>ife in the course of the fight.</w:t>
      </w:r>
      <w:r w:rsidR="0077247C" w:rsidRPr="005778A5">
        <w:rPr>
          <w:rFonts w:ascii="Times New Roman" w:eastAsia="Times New Roman" w:hAnsi="Times New Roman" w:cs="Times New Roman"/>
          <w:sz w:val="24"/>
          <w:szCs w:val="24"/>
        </w:rPr>
        <w:t xml:space="preserve"> This was presented during the trial, indicating the actual murder without the respondent getting injured. However, the murdered individual had a record of the criminal case of murder, asserting that the respondent murdered for self-defense.</w:t>
      </w:r>
      <w:r w:rsidR="00755AC6" w:rsidRPr="005778A5">
        <w:rPr>
          <w:rFonts w:ascii="Times New Roman" w:eastAsia="Times New Roman" w:hAnsi="Times New Roman" w:cs="Times New Roman"/>
          <w:sz w:val="24"/>
          <w:szCs w:val="24"/>
        </w:rPr>
        <w:t xml:space="preserve"> According to </w:t>
      </w:r>
      <w:r w:rsidR="00D63D52" w:rsidRPr="005778A5">
        <w:rPr>
          <w:rStyle w:val="Emphasis"/>
          <w:rFonts w:ascii="Times New Roman" w:hAnsi="Times New Roman" w:cs="Times New Roman"/>
          <w:sz w:val="24"/>
          <w:szCs w:val="24"/>
          <w:shd w:val="clear" w:color="auto" w:fill="FFFFFF"/>
        </w:rPr>
        <w:t>King James Bible</w:t>
      </w:r>
      <w:r w:rsidR="00D63D52" w:rsidRPr="005778A5">
        <w:rPr>
          <w:rFonts w:ascii="Times New Roman" w:hAnsi="Times New Roman" w:cs="Times New Roman"/>
          <w:sz w:val="24"/>
          <w:szCs w:val="24"/>
          <w:shd w:val="clear" w:color="auto" w:fill="FFFFFF"/>
        </w:rPr>
        <w:t xml:space="preserve"> (2008, </w:t>
      </w:r>
      <w:r w:rsidR="00D63D52" w:rsidRPr="005778A5">
        <w:rPr>
          <w:rFonts w:ascii="Times New Roman" w:eastAsia="Times New Roman" w:hAnsi="Times New Roman" w:cs="Times New Roman"/>
          <w:sz w:val="24"/>
          <w:szCs w:val="24"/>
        </w:rPr>
        <w:t>Exodus 21: 14), those</w:t>
      </w:r>
      <w:r w:rsidR="00755AC6" w:rsidRPr="005778A5">
        <w:rPr>
          <w:rFonts w:ascii="Times New Roman" w:eastAsia="Times New Roman" w:hAnsi="Times New Roman" w:cs="Times New Roman"/>
          <w:sz w:val="24"/>
          <w:szCs w:val="24"/>
        </w:rPr>
        <w:t xml:space="preserve"> who kill u</w:t>
      </w:r>
      <w:r>
        <w:rPr>
          <w:rFonts w:ascii="Times New Roman" w:eastAsia="Times New Roman" w:hAnsi="Times New Roman" w:cs="Times New Roman"/>
          <w:sz w:val="24"/>
          <w:szCs w:val="24"/>
        </w:rPr>
        <w:t xml:space="preserve">nknowingly should be taken away </w:t>
      </w:r>
      <w:r w:rsidR="00755AC6" w:rsidRPr="005778A5">
        <w:rPr>
          <w:rFonts w:ascii="Times New Roman" w:eastAsia="Times New Roman" w:hAnsi="Times New Roman" w:cs="Times New Roman"/>
          <w:sz w:val="24"/>
          <w:szCs w:val="24"/>
        </w:rPr>
        <w:t>from the God's alter and be murdered. In this case, the respondent had</w:t>
      </w:r>
      <w:r>
        <w:rPr>
          <w:rFonts w:ascii="Times New Roman" w:eastAsia="Times New Roman" w:hAnsi="Times New Roman" w:cs="Times New Roman"/>
          <w:sz w:val="24"/>
          <w:szCs w:val="24"/>
        </w:rPr>
        <w:t xml:space="preserve"> no right to kill, thus </w:t>
      </w:r>
      <w:r w:rsidR="00755AC6" w:rsidRPr="005778A5">
        <w:rPr>
          <w:rFonts w:ascii="Times New Roman" w:eastAsia="Times New Roman" w:hAnsi="Times New Roman" w:cs="Times New Roman"/>
          <w:sz w:val="24"/>
          <w:szCs w:val="24"/>
        </w:rPr>
        <w:t>deserved murder.</w:t>
      </w:r>
      <w:r w:rsidR="0077247C" w:rsidRPr="005778A5">
        <w:rPr>
          <w:rFonts w:ascii="Times New Roman" w:eastAsia="Times New Roman" w:hAnsi="Times New Roman" w:cs="Times New Roman"/>
          <w:sz w:val="24"/>
          <w:szCs w:val="24"/>
        </w:rPr>
        <w:t xml:space="preserve"> Upon hearing this, Agur's counsel reveale</w:t>
      </w:r>
      <w:r>
        <w:rPr>
          <w:rFonts w:ascii="Times New Roman" w:eastAsia="Times New Roman" w:hAnsi="Times New Roman" w:cs="Times New Roman"/>
          <w:sz w:val="24"/>
          <w:szCs w:val="24"/>
        </w:rPr>
        <w:t xml:space="preserve">d that the prosecutor failed to </w:t>
      </w:r>
      <w:r w:rsidR="009F0B30" w:rsidRPr="005778A5">
        <w:rPr>
          <w:rFonts w:ascii="Times New Roman" w:eastAsia="Times New Roman" w:hAnsi="Times New Roman" w:cs="Times New Roman"/>
          <w:sz w:val="24"/>
          <w:szCs w:val="24"/>
        </w:rPr>
        <w:t xml:space="preserve">disclose </w:t>
      </w:r>
      <w:r w:rsidR="009F0B30">
        <w:rPr>
          <w:rFonts w:ascii="Times New Roman" w:eastAsia="Times New Roman" w:hAnsi="Times New Roman" w:cs="Times New Roman"/>
          <w:sz w:val="24"/>
          <w:szCs w:val="24"/>
        </w:rPr>
        <w:t>the</w:t>
      </w:r>
      <w:r w:rsidR="0077247C" w:rsidRPr="005778A5">
        <w:rPr>
          <w:rFonts w:ascii="Times New Roman" w:eastAsia="Times New Roman" w:hAnsi="Times New Roman" w:cs="Times New Roman"/>
          <w:sz w:val="24"/>
          <w:szCs w:val="24"/>
        </w:rPr>
        <w:t xml:space="preserve"> victim's past criminal </w:t>
      </w:r>
      <w:r>
        <w:rPr>
          <w:rFonts w:ascii="Times New Roman" w:eastAsia="Times New Roman" w:hAnsi="Times New Roman" w:cs="Times New Roman"/>
          <w:sz w:val="24"/>
          <w:szCs w:val="24"/>
        </w:rPr>
        <w:t xml:space="preserve">record, </w:t>
      </w:r>
      <w:r w:rsidR="00887023" w:rsidRPr="005778A5">
        <w:rPr>
          <w:rFonts w:ascii="Times New Roman" w:eastAsia="Times New Roman" w:hAnsi="Times New Roman" w:cs="Times New Roman"/>
          <w:sz w:val="24"/>
          <w:szCs w:val="24"/>
        </w:rPr>
        <w:t xml:space="preserve">given that </w:t>
      </w:r>
      <w:r>
        <w:rPr>
          <w:rFonts w:ascii="Times New Roman" w:eastAsia="Times New Roman" w:hAnsi="Times New Roman" w:cs="Times New Roman"/>
          <w:sz w:val="24"/>
          <w:szCs w:val="24"/>
        </w:rPr>
        <w:t xml:space="preserve">  </w:t>
      </w:r>
      <w:r w:rsidR="00887023" w:rsidRPr="005778A5">
        <w:rPr>
          <w:rFonts w:ascii="Times New Roman" w:eastAsia="Times New Roman" w:hAnsi="Times New Roman" w:cs="Times New Roman"/>
          <w:sz w:val="24"/>
          <w:szCs w:val="24"/>
        </w:rPr>
        <w:t>such evidence was acceptable irrespective of not being known to the defendant</w:t>
      </w:r>
      <w:r w:rsidR="004141E6">
        <w:rPr>
          <w:rFonts w:ascii="Times New Roman" w:eastAsia="Times New Roman" w:hAnsi="Times New Roman" w:cs="Times New Roman"/>
          <w:sz w:val="24"/>
          <w:szCs w:val="24"/>
        </w:rPr>
        <w:t xml:space="preserve">. </w:t>
      </w:r>
      <w:r w:rsidR="00F90D8E" w:rsidRPr="005778A5">
        <w:rPr>
          <w:rFonts w:ascii="Times New Roman" w:eastAsia="Times New Roman" w:hAnsi="Times New Roman" w:cs="Times New Roman"/>
          <w:sz w:val="24"/>
          <w:szCs w:val="24"/>
        </w:rPr>
        <w:t>Unfortunately</w:t>
      </w:r>
      <w:r w:rsidR="00887023" w:rsidRPr="005778A5">
        <w:rPr>
          <w:rFonts w:ascii="Times New Roman" w:eastAsia="Times New Roman" w:hAnsi="Times New Roman" w:cs="Times New Roman"/>
          <w:sz w:val="24"/>
          <w:szCs w:val="24"/>
        </w:rPr>
        <w:t>, District Court never accepted the new trial motion, though never accepted the government argument of not disclosing the victim's records</w:t>
      </w:r>
      <w:r w:rsidR="008708B8" w:rsidRPr="005778A5">
        <w:rPr>
          <w:rFonts w:ascii="Times New Roman" w:eastAsia="Times New Roman" w:hAnsi="Times New Roman" w:cs="Times New Roman"/>
          <w:sz w:val="24"/>
          <w:szCs w:val="24"/>
        </w:rPr>
        <w:t xml:space="preserve"> (JUSTIA US Supreme Court)</w:t>
      </w:r>
      <w:r w:rsidR="00887023" w:rsidRPr="005778A5">
        <w:rPr>
          <w:rFonts w:ascii="Times New Roman" w:eastAsia="Times New Roman" w:hAnsi="Times New Roman" w:cs="Times New Roman"/>
          <w:sz w:val="24"/>
          <w:szCs w:val="24"/>
        </w:rPr>
        <w:t xml:space="preserve">. The court ought to have requested the records necessary in prosecution. Therefore, the </w:t>
      </w:r>
      <w:r w:rsidR="00887023" w:rsidRPr="005778A5">
        <w:rPr>
          <w:rFonts w:ascii="Times New Roman" w:eastAsia="Times New Roman" w:hAnsi="Times New Roman" w:cs="Times New Roman"/>
          <w:sz w:val="24"/>
          <w:szCs w:val="24"/>
        </w:rPr>
        <w:lastRenderedPageBreak/>
        <w:t>United States Court of Appeal reversed the matter as it claimed that the evidence of the victim's record was not to be disclosed</w:t>
      </w:r>
      <w:r w:rsidR="00F93493" w:rsidRPr="005778A5">
        <w:rPr>
          <w:rFonts w:ascii="Times New Roman" w:eastAsia="Times New Roman" w:hAnsi="Times New Roman" w:cs="Times New Roman"/>
          <w:sz w:val="24"/>
          <w:szCs w:val="24"/>
        </w:rPr>
        <w:t xml:space="preserve">. </w:t>
      </w:r>
    </w:p>
    <w:p w:rsidR="005F2E48" w:rsidRPr="005778A5" w:rsidRDefault="005F2E48" w:rsidP="00FC5F2D">
      <w:pPr>
        <w:spacing w:after="0" w:line="480" w:lineRule="auto"/>
        <w:rPr>
          <w:rFonts w:ascii="Times New Roman" w:eastAsia="Times New Roman" w:hAnsi="Times New Roman" w:cs="Times New Roman"/>
          <w:sz w:val="24"/>
          <w:szCs w:val="24"/>
        </w:rPr>
      </w:pPr>
    </w:p>
    <w:p w:rsidR="008E46FE" w:rsidRDefault="00006C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93493" w:rsidRPr="005778A5" w:rsidRDefault="00006C3C" w:rsidP="005778A5">
      <w:pPr>
        <w:spacing w:after="0" w:line="480" w:lineRule="auto"/>
        <w:jc w:val="center"/>
        <w:rPr>
          <w:rFonts w:ascii="Times New Roman" w:eastAsia="Times New Roman" w:hAnsi="Times New Roman" w:cs="Times New Roman"/>
          <w:b/>
          <w:sz w:val="24"/>
          <w:szCs w:val="24"/>
        </w:rPr>
      </w:pPr>
      <w:r w:rsidRPr="005778A5">
        <w:rPr>
          <w:rFonts w:ascii="Times New Roman" w:eastAsia="Times New Roman" w:hAnsi="Times New Roman" w:cs="Times New Roman"/>
          <w:b/>
          <w:sz w:val="24"/>
          <w:szCs w:val="24"/>
        </w:rPr>
        <w:lastRenderedPageBreak/>
        <w:t>References</w:t>
      </w:r>
    </w:p>
    <w:p w:rsidR="00F23543" w:rsidRPr="005778A5" w:rsidRDefault="00006C3C" w:rsidP="005778A5">
      <w:pPr>
        <w:spacing w:line="480" w:lineRule="auto"/>
        <w:ind w:left="720" w:hanging="720"/>
        <w:rPr>
          <w:rFonts w:ascii="Times New Roman" w:eastAsia="Times New Roman" w:hAnsi="Times New Roman" w:cs="Times New Roman"/>
          <w:sz w:val="24"/>
          <w:szCs w:val="24"/>
        </w:rPr>
      </w:pPr>
      <w:r w:rsidRPr="005778A5">
        <w:rPr>
          <w:rFonts w:ascii="Times New Roman" w:eastAsia="Times New Roman" w:hAnsi="Times New Roman" w:cs="Times New Roman"/>
          <w:sz w:val="24"/>
          <w:szCs w:val="24"/>
        </w:rPr>
        <w:t xml:space="preserve">Alkon, C. (2014). The right to defense discovery in plea bargaining fifty years after Brady v. Maryland. Nyu </w:t>
      </w:r>
      <w:r w:rsidRPr="005778A5">
        <w:rPr>
          <w:rFonts w:ascii="Times New Roman" w:eastAsia="Times New Roman" w:hAnsi="Times New Roman" w:cs="Times New Roman"/>
          <w:sz w:val="24"/>
          <w:szCs w:val="24"/>
        </w:rPr>
        <w:t>REv. L. &amp; Soc. CHANGE, 38, 407.</w:t>
      </w:r>
    </w:p>
    <w:p w:rsidR="00D63D52" w:rsidRPr="005778A5" w:rsidRDefault="00006C3C" w:rsidP="005778A5">
      <w:pPr>
        <w:spacing w:line="480" w:lineRule="auto"/>
        <w:ind w:left="720" w:hanging="720"/>
        <w:rPr>
          <w:rFonts w:ascii="Times New Roman" w:eastAsia="Times New Roman" w:hAnsi="Times New Roman" w:cs="Times New Roman"/>
          <w:sz w:val="24"/>
          <w:szCs w:val="24"/>
        </w:rPr>
      </w:pPr>
      <w:r w:rsidRPr="005778A5">
        <w:rPr>
          <w:rStyle w:val="Emphasis"/>
          <w:rFonts w:ascii="Times New Roman" w:hAnsi="Times New Roman" w:cs="Times New Roman"/>
          <w:sz w:val="24"/>
          <w:szCs w:val="24"/>
          <w:shd w:val="clear" w:color="auto" w:fill="FFFFFF"/>
        </w:rPr>
        <w:t>King James Bible</w:t>
      </w:r>
      <w:r w:rsidRPr="005778A5">
        <w:rPr>
          <w:rFonts w:ascii="Times New Roman" w:hAnsi="Times New Roman" w:cs="Times New Roman"/>
          <w:sz w:val="24"/>
          <w:szCs w:val="24"/>
          <w:shd w:val="clear" w:color="auto" w:fill="FFFFFF"/>
        </w:rPr>
        <w:t>. (2008). Oxford University Press. (Original work published 1769)</w:t>
      </w:r>
    </w:p>
    <w:p w:rsidR="00F23543" w:rsidRPr="005778A5" w:rsidRDefault="00006C3C" w:rsidP="005778A5">
      <w:pPr>
        <w:spacing w:line="480" w:lineRule="auto"/>
        <w:ind w:left="720" w:hanging="720"/>
        <w:rPr>
          <w:rFonts w:ascii="Times New Roman" w:eastAsia="Times New Roman" w:hAnsi="Times New Roman" w:cs="Times New Roman"/>
          <w:sz w:val="24"/>
          <w:szCs w:val="24"/>
        </w:rPr>
      </w:pPr>
      <w:r w:rsidRPr="005778A5">
        <w:rPr>
          <w:rFonts w:ascii="Times New Roman" w:eastAsia="Times New Roman" w:hAnsi="Times New Roman" w:cs="Times New Roman"/>
          <w:sz w:val="24"/>
          <w:szCs w:val="24"/>
        </w:rPr>
        <w:t xml:space="preserve">Johnson, V. B. (2014). When the Government Holds the Purse Strings but Not the Purse: Brady, Giglio, and Crime Victim Compensation Funds. NYU </w:t>
      </w:r>
      <w:r w:rsidRPr="005778A5">
        <w:rPr>
          <w:rFonts w:ascii="Times New Roman" w:eastAsia="Times New Roman" w:hAnsi="Times New Roman" w:cs="Times New Roman"/>
          <w:sz w:val="24"/>
          <w:szCs w:val="24"/>
        </w:rPr>
        <w:t>Rev. L. &amp; Soc. Change, 38, 491.</w:t>
      </w:r>
    </w:p>
    <w:p w:rsidR="00F23543" w:rsidRPr="005778A5" w:rsidRDefault="00006C3C" w:rsidP="005778A5">
      <w:pPr>
        <w:spacing w:line="480" w:lineRule="auto"/>
        <w:ind w:left="720" w:hanging="720"/>
        <w:rPr>
          <w:rStyle w:val="Hyperlink"/>
          <w:rFonts w:ascii="Times New Roman" w:eastAsia="Times New Roman" w:hAnsi="Times New Roman" w:cs="Times New Roman"/>
          <w:sz w:val="24"/>
          <w:szCs w:val="24"/>
        </w:rPr>
      </w:pPr>
      <w:r w:rsidRPr="005778A5">
        <w:rPr>
          <w:rFonts w:ascii="Times New Roman" w:eastAsia="Times New Roman" w:hAnsi="Times New Roman" w:cs="Times New Roman"/>
          <w:sz w:val="24"/>
          <w:szCs w:val="24"/>
        </w:rPr>
        <w:t>JUSTIA US Supreme Court (n,d).</w:t>
      </w:r>
      <w:r w:rsidRPr="005778A5">
        <w:rPr>
          <w:rFonts w:ascii="Times New Roman" w:hAnsi="Times New Roman" w:cs="Times New Roman"/>
          <w:sz w:val="24"/>
          <w:szCs w:val="24"/>
        </w:rPr>
        <w:t xml:space="preserve"> </w:t>
      </w:r>
      <w:r w:rsidRPr="005778A5">
        <w:rPr>
          <w:rFonts w:ascii="Times New Roman" w:eastAsia="Times New Roman" w:hAnsi="Times New Roman" w:cs="Times New Roman"/>
          <w:sz w:val="24"/>
          <w:szCs w:val="24"/>
        </w:rPr>
        <w:t xml:space="preserve">The United States v. Agurs, 427 U.S. 97 (1976). </w:t>
      </w:r>
      <w:hyperlink r:id="rId7" w:history="1">
        <w:r w:rsidRPr="005778A5">
          <w:rPr>
            <w:rStyle w:val="Hyperlink"/>
            <w:rFonts w:ascii="Times New Roman" w:eastAsia="Times New Roman" w:hAnsi="Times New Roman" w:cs="Times New Roman"/>
            <w:sz w:val="24"/>
            <w:szCs w:val="24"/>
          </w:rPr>
          <w:t>https://supreme.justia.com/cases/federal/us/427/97/</w:t>
        </w:r>
      </w:hyperlink>
    </w:p>
    <w:p w:rsidR="00D86AD0" w:rsidRPr="005778A5" w:rsidRDefault="00006C3C" w:rsidP="005778A5">
      <w:pPr>
        <w:spacing w:after="0" w:line="480" w:lineRule="auto"/>
        <w:rPr>
          <w:rFonts w:ascii="Times New Roman" w:hAnsi="Times New Roman" w:cs="Times New Roman"/>
          <w:sz w:val="24"/>
          <w:szCs w:val="24"/>
        </w:rPr>
      </w:pPr>
      <w:r w:rsidRPr="005778A5">
        <w:rPr>
          <w:rFonts w:ascii="Times New Roman" w:eastAsia="Times New Roman" w:hAnsi="Times New Roman" w:cs="Times New Roman"/>
          <w:sz w:val="24"/>
          <w:szCs w:val="24"/>
        </w:rPr>
        <w:t xml:space="preserve"> </w:t>
      </w:r>
    </w:p>
    <w:sectPr w:rsidR="00D86AD0" w:rsidRPr="005778A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3C" w:rsidRDefault="00006C3C">
      <w:pPr>
        <w:spacing w:after="0" w:line="240" w:lineRule="auto"/>
      </w:pPr>
      <w:r>
        <w:separator/>
      </w:r>
    </w:p>
  </w:endnote>
  <w:endnote w:type="continuationSeparator" w:id="0">
    <w:p w:rsidR="00006C3C" w:rsidRDefault="0000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C3C" w:rsidRDefault="00006C3C">
      <w:pPr>
        <w:spacing w:after="0" w:line="240" w:lineRule="auto"/>
      </w:pPr>
      <w:r>
        <w:separator/>
      </w:r>
    </w:p>
  </w:footnote>
  <w:footnote w:type="continuationSeparator" w:id="0">
    <w:p w:rsidR="00006C3C" w:rsidRDefault="0000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89940226"/>
      <w:docPartObj>
        <w:docPartGallery w:val="Page Numbers (Top of Page)"/>
        <w:docPartUnique/>
      </w:docPartObj>
    </w:sdtPr>
    <w:sdtEndPr>
      <w:rPr>
        <w:noProof/>
      </w:rPr>
    </w:sdtEndPr>
    <w:sdtContent>
      <w:p w:rsidR="00F15F36" w:rsidRPr="00932857" w:rsidRDefault="00006C3C">
        <w:pPr>
          <w:pStyle w:val="Header"/>
          <w:jc w:val="right"/>
          <w:rPr>
            <w:rFonts w:ascii="Times New Roman" w:hAnsi="Times New Roman" w:cs="Times New Roman"/>
            <w:sz w:val="24"/>
            <w:szCs w:val="24"/>
          </w:rPr>
        </w:pPr>
        <w:r w:rsidRPr="00932857">
          <w:rPr>
            <w:rFonts w:ascii="Times New Roman" w:hAnsi="Times New Roman" w:cs="Times New Roman"/>
            <w:sz w:val="24"/>
            <w:szCs w:val="24"/>
          </w:rPr>
          <w:fldChar w:fldCharType="begin"/>
        </w:r>
        <w:r w:rsidRPr="00932857">
          <w:rPr>
            <w:rFonts w:ascii="Times New Roman" w:hAnsi="Times New Roman" w:cs="Times New Roman"/>
            <w:sz w:val="24"/>
            <w:szCs w:val="24"/>
          </w:rPr>
          <w:instrText xml:space="preserve"> PAGE   \* MERGEFORMAT </w:instrText>
        </w:r>
        <w:r w:rsidRPr="00932857">
          <w:rPr>
            <w:rFonts w:ascii="Times New Roman" w:hAnsi="Times New Roman" w:cs="Times New Roman"/>
            <w:sz w:val="24"/>
            <w:szCs w:val="24"/>
          </w:rPr>
          <w:fldChar w:fldCharType="separate"/>
        </w:r>
        <w:r w:rsidR="005425EA">
          <w:rPr>
            <w:rFonts w:ascii="Times New Roman" w:hAnsi="Times New Roman" w:cs="Times New Roman"/>
            <w:noProof/>
            <w:sz w:val="24"/>
            <w:szCs w:val="24"/>
          </w:rPr>
          <w:t>3</w:t>
        </w:r>
        <w:r w:rsidRPr="00932857">
          <w:rPr>
            <w:rFonts w:ascii="Times New Roman" w:hAnsi="Times New Roman" w:cs="Times New Roman"/>
            <w:noProof/>
            <w:sz w:val="24"/>
            <w:szCs w:val="24"/>
          </w:rPr>
          <w:fldChar w:fldCharType="end"/>
        </w:r>
      </w:p>
    </w:sdtContent>
  </w:sdt>
  <w:p w:rsidR="00F15F36" w:rsidRPr="00932857" w:rsidRDefault="00F15F3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A379F"/>
    <w:multiLevelType w:val="hybridMultilevel"/>
    <w:tmpl w:val="12722320"/>
    <w:lvl w:ilvl="0" w:tplc="0B4E011E">
      <w:start w:val="1"/>
      <w:numFmt w:val="bullet"/>
      <w:lvlText w:val=""/>
      <w:lvlJc w:val="left"/>
      <w:pPr>
        <w:ind w:left="720" w:hanging="360"/>
      </w:pPr>
      <w:rPr>
        <w:rFonts w:ascii="Symbol" w:hAnsi="Symbol" w:hint="default"/>
      </w:rPr>
    </w:lvl>
    <w:lvl w:ilvl="1" w:tplc="1D140458" w:tentative="1">
      <w:start w:val="1"/>
      <w:numFmt w:val="bullet"/>
      <w:lvlText w:val="o"/>
      <w:lvlJc w:val="left"/>
      <w:pPr>
        <w:ind w:left="1440" w:hanging="360"/>
      </w:pPr>
      <w:rPr>
        <w:rFonts w:ascii="Courier New" w:hAnsi="Courier New" w:cs="Courier New" w:hint="default"/>
      </w:rPr>
    </w:lvl>
    <w:lvl w:ilvl="2" w:tplc="2320F41E" w:tentative="1">
      <w:start w:val="1"/>
      <w:numFmt w:val="bullet"/>
      <w:lvlText w:val=""/>
      <w:lvlJc w:val="left"/>
      <w:pPr>
        <w:ind w:left="2160" w:hanging="360"/>
      </w:pPr>
      <w:rPr>
        <w:rFonts w:ascii="Wingdings" w:hAnsi="Wingdings" w:hint="default"/>
      </w:rPr>
    </w:lvl>
    <w:lvl w:ilvl="3" w:tplc="ED36E66C" w:tentative="1">
      <w:start w:val="1"/>
      <w:numFmt w:val="bullet"/>
      <w:lvlText w:val=""/>
      <w:lvlJc w:val="left"/>
      <w:pPr>
        <w:ind w:left="2880" w:hanging="360"/>
      </w:pPr>
      <w:rPr>
        <w:rFonts w:ascii="Symbol" w:hAnsi="Symbol" w:hint="default"/>
      </w:rPr>
    </w:lvl>
    <w:lvl w:ilvl="4" w:tplc="4F140958" w:tentative="1">
      <w:start w:val="1"/>
      <w:numFmt w:val="bullet"/>
      <w:lvlText w:val="o"/>
      <w:lvlJc w:val="left"/>
      <w:pPr>
        <w:ind w:left="3600" w:hanging="360"/>
      </w:pPr>
      <w:rPr>
        <w:rFonts w:ascii="Courier New" w:hAnsi="Courier New" w:cs="Courier New" w:hint="default"/>
      </w:rPr>
    </w:lvl>
    <w:lvl w:ilvl="5" w:tplc="F86A9F96" w:tentative="1">
      <w:start w:val="1"/>
      <w:numFmt w:val="bullet"/>
      <w:lvlText w:val=""/>
      <w:lvlJc w:val="left"/>
      <w:pPr>
        <w:ind w:left="4320" w:hanging="360"/>
      </w:pPr>
      <w:rPr>
        <w:rFonts w:ascii="Wingdings" w:hAnsi="Wingdings" w:hint="default"/>
      </w:rPr>
    </w:lvl>
    <w:lvl w:ilvl="6" w:tplc="DE0C04E6" w:tentative="1">
      <w:start w:val="1"/>
      <w:numFmt w:val="bullet"/>
      <w:lvlText w:val=""/>
      <w:lvlJc w:val="left"/>
      <w:pPr>
        <w:ind w:left="5040" w:hanging="360"/>
      </w:pPr>
      <w:rPr>
        <w:rFonts w:ascii="Symbol" w:hAnsi="Symbol" w:hint="default"/>
      </w:rPr>
    </w:lvl>
    <w:lvl w:ilvl="7" w:tplc="3E22173E" w:tentative="1">
      <w:start w:val="1"/>
      <w:numFmt w:val="bullet"/>
      <w:lvlText w:val="o"/>
      <w:lvlJc w:val="left"/>
      <w:pPr>
        <w:ind w:left="5760" w:hanging="360"/>
      </w:pPr>
      <w:rPr>
        <w:rFonts w:ascii="Courier New" w:hAnsi="Courier New" w:cs="Courier New" w:hint="default"/>
      </w:rPr>
    </w:lvl>
    <w:lvl w:ilvl="8" w:tplc="1D686CF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36"/>
    <w:rsid w:val="00006C3C"/>
    <w:rsid w:val="00051586"/>
    <w:rsid w:val="000A0F61"/>
    <w:rsid w:val="002045CD"/>
    <w:rsid w:val="0029617B"/>
    <w:rsid w:val="00297263"/>
    <w:rsid w:val="00303EE2"/>
    <w:rsid w:val="003C304B"/>
    <w:rsid w:val="003F413C"/>
    <w:rsid w:val="00412FE5"/>
    <w:rsid w:val="004141E6"/>
    <w:rsid w:val="004729ED"/>
    <w:rsid w:val="005425EA"/>
    <w:rsid w:val="005778A5"/>
    <w:rsid w:val="0058638D"/>
    <w:rsid w:val="005F2E48"/>
    <w:rsid w:val="0060556B"/>
    <w:rsid w:val="00755AC6"/>
    <w:rsid w:val="0077247C"/>
    <w:rsid w:val="00847E15"/>
    <w:rsid w:val="008708B8"/>
    <w:rsid w:val="00887023"/>
    <w:rsid w:val="008E46FE"/>
    <w:rsid w:val="00932857"/>
    <w:rsid w:val="00933DEB"/>
    <w:rsid w:val="009F0B30"/>
    <w:rsid w:val="00A12A60"/>
    <w:rsid w:val="00B507C8"/>
    <w:rsid w:val="00B86E10"/>
    <w:rsid w:val="00C95409"/>
    <w:rsid w:val="00CA708F"/>
    <w:rsid w:val="00CC0956"/>
    <w:rsid w:val="00D63D52"/>
    <w:rsid w:val="00D86AD0"/>
    <w:rsid w:val="00DB38F7"/>
    <w:rsid w:val="00DB4C62"/>
    <w:rsid w:val="00DD204A"/>
    <w:rsid w:val="00DF138A"/>
    <w:rsid w:val="00E47D63"/>
    <w:rsid w:val="00EB53D9"/>
    <w:rsid w:val="00F15F36"/>
    <w:rsid w:val="00F23543"/>
    <w:rsid w:val="00F90D8E"/>
    <w:rsid w:val="00F93493"/>
    <w:rsid w:val="00FC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47AC"/>
  <w15:docId w15:val="{567863D8-8925-47BB-A7A7-EE93BA91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F36"/>
  </w:style>
  <w:style w:type="paragraph" w:styleId="Footer">
    <w:name w:val="footer"/>
    <w:basedOn w:val="Normal"/>
    <w:link w:val="FooterChar"/>
    <w:uiPriority w:val="99"/>
    <w:unhideWhenUsed/>
    <w:rsid w:val="00F1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F36"/>
  </w:style>
  <w:style w:type="character" w:styleId="Hyperlink">
    <w:name w:val="Hyperlink"/>
    <w:basedOn w:val="DefaultParagraphFont"/>
    <w:uiPriority w:val="99"/>
    <w:unhideWhenUsed/>
    <w:rsid w:val="005F2E48"/>
    <w:rPr>
      <w:color w:val="0000FF" w:themeColor="hyperlink"/>
      <w:u w:val="single"/>
    </w:rPr>
  </w:style>
  <w:style w:type="character" w:styleId="Emphasis">
    <w:name w:val="Emphasis"/>
    <w:basedOn w:val="DefaultParagraphFont"/>
    <w:uiPriority w:val="20"/>
    <w:qFormat/>
    <w:rsid w:val="00D63D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preme.justia.com/cases/federal/us/427/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HP</cp:lastModifiedBy>
  <cp:revision>31</cp:revision>
  <dcterms:created xsi:type="dcterms:W3CDTF">2021-07-17T11:24:00Z</dcterms:created>
  <dcterms:modified xsi:type="dcterms:W3CDTF">2021-07-17T14:14:00Z</dcterms:modified>
</cp:coreProperties>
</file>